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BioXcel Therapeutics,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001-38410</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82-1386754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3880" w:space="720"/>
            <w:col w:w="3420" w:space="720"/>
            <w:col w:w="2500"/>
          </w:cols>
          <w:pgMar w:left="320" w:top="70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 Long Wharf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Haven, CT 06511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(475) 238-6837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r>
        <w:rPr>
          <w:rFonts w:ascii="Times New Roman" w:cs="Times New Roman" w:eastAsia="Times New Roman" w:hAnsi="Times New Roman"/>
          <w:sz w:val="18"/>
          <w:szCs w:val="18"/>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ectPr>
          <w:pgSz w:w="11900" w:h="16838" w:orient="portrait"/>
          <w:cols w:equalWidth="0" w:num="1">
            <w:col w:w="11240"/>
          </w:cols>
          <w:pgMar w:left="320" w:top="700"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BTAI</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May 15, 2026, BioXcel Therapeutics, Inc. (the “Company”) issued a press release announcing its financial results for the three months ended March 31, 2026 and provided a business update. A copy of the Company’s press release is furnished as Exhibit 99.1 to this Current Report on Form 8-K and incorporated herein by reference.</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is being furnished and shall not be deemed “filed” for purposes of Section 18 of the Securities Exchange Act of 1934, as amended, nor shall it be incorporated by reference into any registration statement or other document pursuant to the Securities Act of 1933, as amended, except as expressly set forth in such filing.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6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45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880" w:type="dxa"/>
            <w:vAlign w:val="bottom"/>
          </w:tcPr>
          <w:p>
            <w:pPr>
              <w:spacing w:after="0"/>
              <w:rPr>
                <w:sz w:val="24"/>
                <w:szCs w:val="24"/>
                <w:color w:val="auto"/>
              </w:rPr>
            </w:pPr>
          </w:p>
        </w:tc>
        <w:tc>
          <w:tcPr>
            <w:tcW w:w="25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rPr>
              <w:t>Press release, dated May 15, 2026.</w:t>
            </w:r>
          </w:p>
        </w:tc>
        <w:tc>
          <w:tcPr>
            <w:tcW w:w="7440" w:type="dxa"/>
            <w:vAlign w:val="bottom"/>
          </w:tcPr>
          <w:p>
            <w:pPr>
              <w:spacing w:after="0"/>
              <w:rPr>
                <w:sz w:val="24"/>
                <w:szCs w:val="24"/>
                <w:color w:val="auto"/>
              </w:rPr>
            </w:pPr>
          </w:p>
        </w:tc>
      </w:tr>
      <w:tr>
        <w:trPr>
          <w:trHeight w:val="45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702"/>
        </w:trPr>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b w:val="1"/>
          <w:bCs w:val="1"/>
          <w:color w:val="auto"/>
        </w:rPr>
        <w:t>BIOXCEL THERAPEUTICS,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Richard Steinhart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Provides Business Update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First Quarter 2026 Financial Results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accepted sNDA for IGALMI® use in at-home (outpatient) setting; set Nov. 14, 2026, as PDUFA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Advancing BXCL501 as a potential acute treatment for agitation associated with Alzheimer’s dementia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Evaluating strategic options with an advisor to maximize shareholder value and advance the commercial and development plans for IGALMI</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NEW HAVEN, Conn., May 15, 2026 — BioXcel Therapeutics, Inc. (Nasdaq: BTAI), a biopharmaceutical company built on artificial intelligence (“AI”) to develop transformative medicines in neuroscience, today provided a business update and reported financial results for the first quarter of 2026. In the quarter ended on March 31, the FDA accepted the Company’s supplemental New Drug Application (sNDA) for IGALMI® for at-home use in the acute treatment of agitation associated with bipolar disorders or schizophrenia and assigned a PDUFA target action date of November 14, 2026.</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first quarter was marked by tremendous progress, achieving a major regulatory milestone and developing the IGALMI commercial launch plan for the at-home setting,” said Vimal Mehta, Ph.D., Chief Executive Officer of BioXcel Therapeutics. “We are very pleased with the recent approval of another product in Alzheimer’s agitation, in an area adjacent to our focus on the acute treatment of agitation in Alzheimer’s dementia with BXCL501. Our first-in-class mechanism has the potential to make a transformative impact on the lives of a large patient population in this disease area. We are actively pursuing strategic options to maximize shareholder value for the IGALMI franchise.”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Options</w:t>
      </w:r>
    </w:p>
    <w:p>
      <w:pPr>
        <w:spacing w:after="0" w:line="225" w:lineRule="exact"/>
        <w:rPr>
          <w:sz w:val="20"/>
          <w:szCs w:val="20"/>
          <w:color w:val="auto"/>
        </w:rPr>
      </w:pPr>
    </w:p>
    <w:p>
      <w:pPr>
        <w:ind w:left="660" w:right="60" w:hanging="328"/>
        <w:spacing w:after="0" w:line="257"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Exploring Value-Maximizing Options: </w:t>
      </w:r>
      <w:r>
        <w:rPr>
          <w:rFonts w:ascii="Times New Roman" w:cs="Times New Roman" w:eastAsia="Times New Roman" w:hAnsi="Times New Roman"/>
          <w:sz w:val="18"/>
          <w:szCs w:val="18"/>
          <w:color w:val="auto"/>
        </w:rPr>
        <w:t>The Company engaged MTS Health Partners as an advisor for evaluation of strategic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maximize shareholder value and advance the commercial and development plans for IGALMI, which may include, but are not limited to, a sale of the Company, a merger or other business combination, a collaboration, joint venture, royalty or license agreement of all or a portion of our assets, a recapitalization or other financing transaction, or continued execution of our standalone operating plan. We have not made a decision to pursue any specific transaction or strategic option, no set timetable has been established for the completion of this process, and there can be no assurance that the process will result in any transaction or other particular outcome.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BXCL501 Late-Stage Clinical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SERENITY Program</w:t>
      </w:r>
    </w:p>
    <w:p>
      <w:pPr>
        <w:spacing w:after="0" w:line="225" w:lineRule="exact"/>
        <w:rPr>
          <w:sz w:val="20"/>
          <w:szCs w:val="20"/>
          <w:color w:val="auto"/>
        </w:rPr>
      </w:pPr>
    </w:p>
    <w:p>
      <w:pPr>
        <w:ind w:left="660" w:right="180" w:hanging="328"/>
        <w:spacing w:after="0" w:line="262"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FDA Acceptance of IGALMI At-Home sNDA</w:t>
      </w:r>
      <w:r>
        <w:rPr>
          <w:rFonts w:ascii="Times New Roman" w:cs="Times New Roman" w:eastAsia="Times New Roman" w:hAnsi="Times New Roman"/>
          <w:sz w:val="18"/>
          <w:szCs w:val="18"/>
          <w:color w:val="auto"/>
        </w:rPr>
        <w:t>: The FDA recently accepted the Company’s sNDA seeking to expand the IGALMI label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at-home treatment of acute agitation in bipolar disorder and schizophrenia. The FDA has assigned a PDUFA target action date of November 14, 2026, which, if approved, would represent the first FDA-approved treatment option for acute agitation associated with bipolar disorders or schizophrenia in the at-home setting.</w:t>
      </w:r>
    </w:p>
    <w:p>
      <w:pPr>
        <w:spacing w:after="0" w:line="202" w:lineRule="exact"/>
        <w:rPr>
          <w:rFonts w:ascii="Arial" w:cs="Arial" w:eastAsia="Arial" w:hAnsi="Arial"/>
          <w:sz w:val="18"/>
          <w:szCs w:val="18"/>
          <w:b w:val="1"/>
          <w:bCs w:val="1"/>
          <w:color w:val="auto"/>
        </w:rPr>
      </w:pPr>
    </w:p>
    <w:p>
      <w:pPr>
        <w:ind w:left="660" w:right="160" w:hanging="328"/>
        <w:spacing w:after="0" w:line="290" w:lineRule="auto"/>
        <w:tabs>
          <w:tab w:leader="none" w:pos="660"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Commercial Launch Readiness</w:t>
      </w:r>
      <w:r>
        <w:rPr>
          <w:rFonts w:ascii="Times New Roman" w:cs="Times New Roman" w:eastAsia="Times New Roman" w:hAnsi="Times New Roman"/>
          <w:sz w:val="17"/>
          <w:szCs w:val="17"/>
          <w:color w:val="auto"/>
        </w:rPr>
        <w:t>: The Company has been preparing for the commercial launch and has developed a comprehensive launch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informed by a third-party market assessment highlighting a large total addressable market for IGALMI in the at-home setting. The Company recently hosted a </w:t>
      </w:r>
      <w:r>
        <w:rPr>
          <w:rFonts w:ascii="Times New Roman" w:cs="Times New Roman" w:eastAsia="Times New Roman" w:hAnsi="Times New Roman"/>
          <w:sz w:val="17"/>
          <w:szCs w:val="17"/>
          <w:u w:val="single" w:color="auto"/>
          <w:color w:val="auto"/>
        </w:rPr>
        <w:t>virtual event</w:t>
      </w:r>
      <w:r>
        <w:rPr>
          <w:rFonts w:ascii="Times New Roman" w:cs="Times New Roman" w:eastAsia="Times New Roman" w:hAnsi="Times New Roman"/>
          <w:sz w:val="17"/>
          <w:szCs w:val="17"/>
          <w:color w:val="auto"/>
        </w:rPr>
        <w:t>, held by a covering analyst, to present the launch plans and discuss the market opportunity with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TRANQUILITY Program</w:t>
      </w:r>
    </w:p>
    <w:p>
      <w:pPr>
        <w:spacing w:after="0" w:line="225" w:lineRule="exact"/>
        <w:rPr>
          <w:sz w:val="20"/>
          <w:szCs w:val="20"/>
          <w:color w:val="auto"/>
        </w:rPr>
      </w:pPr>
    </w:p>
    <w:p>
      <w:pPr>
        <w:ind w:left="660" w:hanging="328"/>
        <w:spacing w:after="0" w:line="262"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TRANQUILITY In-Care Phase 3 Trial</w:t>
      </w:r>
      <w:r>
        <w:rPr>
          <w:rFonts w:ascii="Times New Roman" w:cs="Times New Roman" w:eastAsia="Times New Roman" w:hAnsi="Times New Roman"/>
          <w:sz w:val="18"/>
          <w:szCs w:val="18"/>
          <w:color w:val="auto"/>
        </w:rPr>
        <w:t>: The TRANQUILITY In-Care trial is designed as a double-blind, placebo-controlled study to evaluate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efficacy and safety of a 60 mcg dose of BXCL501 for the acute treatment of agitation associated with Alzheimer’s dementia. The Company remains focused on BXCL501’s potential in this disease, supported by a favorable regulatory environment following a recent FDA approval in an adjacent indication, which is further reinforcing the need in this therapeutic area.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revenue from IGALMI® </w:t>
      </w:r>
      <w:r>
        <w:rPr>
          <w:rFonts w:ascii="Times New Roman" w:cs="Times New Roman" w:eastAsia="Times New Roman" w:hAnsi="Times New Roman"/>
          <w:sz w:val="18"/>
          <w:szCs w:val="18"/>
          <w:color w:val="auto"/>
        </w:rPr>
        <w:t>was $206,000 for the first quarter of 2026, compared to $168,000 for the same period in 2025. The Company is focused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preparing for IGALMI’s launch in the at-home setting and maintaining IGALMI’s brand awareness with minimal commercial resources.</w:t>
      </w:r>
    </w:p>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for the first quarter of 2026 was $283,000, compared to $14,000 for the same period in 2025. The increase in Cost of Goods Sold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first quarter is primarily the result of higher charges for reserves for excess or obsolete inventory compared to the same respective period in 2025.</w:t>
      </w:r>
    </w:p>
    <w:p>
      <w:pPr>
        <w:spacing w:after="0" w:line="155"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Research and Development (R&amp;D) expenses </w:t>
      </w:r>
      <w:r>
        <w:rPr>
          <w:rFonts w:ascii="Times New Roman" w:cs="Times New Roman" w:eastAsia="Times New Roman" w:hAnsi="Times New Roman"/>
          <w:sz w:val="17"/>
          <w:szCs w:val="17"/>
          <w:color w:val="auto"/>
        </w:rPr>
        <w:t>were $3.0 million for the first quarter of 2026, compared to $4.6 million for the same period in 2025.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decreased expenses for the first quarter of 2026 were primarily due to the completion of the SERENITY At-Home pivotal Phase 3 safety trial in 2025.</w:t>
      </w:r>
    </w:p>
    <w:p>
      <w:pPr>
        <w:spacing w:after="0" w:line="13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expenses were $7.2 million for the first quarter of 2026, compared to $5.7 million for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increased costs for the first quarter of 2026 were primarily attributable to an increase in professional fees.</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BioXcel Therapeutics reported an operating loss of $10.2 million and a net loss of $12.7 million for the first quarter of 2026, compared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loss of $10.1 million and net loss of $7.3 million for the same period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and restricted cash </w:t>
      </w:r>
      <w:r>
        <w:rPr>
          <w:rFonts w:ascii="Times New Roman" w:cs="Times New Roman" w:eastAsia="Times New Roman" w:hAnsi="Times New Roman"/>
          <w:sz w:val="18"/>
          <w:szCs w:val="18"/>
          <w:color w:val="auto"/>
        </w:rPr>
        <w:t>totaled $17.2 million as of March 31,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in compliance with the covenants in its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BioXcel Therapeutics, Inc.</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BioXcel Therapeutics, Inc. (Nasdaq: BTAI) is a biopharmaceutical company built on artificial intelligence (“AI”) to develop transformative medicines in neuroscience. Its wholly owned subsidiary, OnkosXcel Therapeutics, is focused on the development of medicines in immuno-oncology. The Company’s drug re-innovation approach leverages existing approved drugs and/or clinically validated product candidates together with big data and proprietary machine learning algorithms to identify new therapeutic indications. For more information, please visit </w:t>
      </w:r>
      <w:r>
        <w:rPr>
          <w:rFonts w:ascii="Times New Roman" w:cs="Times New Roman" w:eastAsia="Times New Roman" w:hAnsi="Times New Roman"/>
          <w:sz w:val="18"/>
          <w:szCs w:val="18"/>
          <w:u w:val="single" w:color="auto"/>
          <w:color w:val="auto"/>
        </w:rPr>
        <w:t>bioxceltherapeutics.com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BXCL501</w:t>
      </w:r>
    </w:p>
    <w:p>
      <w:pPr>
        <w:spacing w:after="0" w:line="2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Outside of its approved indication by the U.S. Food and Drug Administration as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(dexmedetomidine) sublingual film, BXCL501 is an investigational proprietary, orally dissolving film formulation of dexmedetomidine, a selective alpha-2 adrenergic receptor agonist. BXCL501 is under investigation by BioXcel Therapeutics for the acute treatment of agitation associated with Alzheimer’s dementia and for the acute treatment of agitation associated with bipolar I or II disorder or schizophrenia in the at-home setting. The safety and efficacy of BXCL501 for these investigational uses have not been established. BXCL501 has been granted Breakthrough Therapy designation by the FDA for the acute treatment of agitation associated with dementia and Fast Track designation for the acute treatment of agitation associated with schizophrenia, bipolar disorders, and dementia.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IGALMI</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(dexmedetomidine) sublingual film</w:t>
      </w:r>
    </w:p>
    <w:p>
      <w:pPr>
        <w:spacing w:after="0" w:line="14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IGALMI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(dexmedetomidine) sublingual film is a prescription medicine, administered under the supervision of a health care provider, that is placed under the tongue or behind the lower lip and is used for the acute treatment of agitation associated with schizophrenia and bipolar disorder I or II in adults. The safety and effectiveness of IGALMI has not been studied beyond 24 hours from the first dose. It is not known if IGALMI is safe and effective in children.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IGALMI can cause serious side effects, including:</w:t>
      </w:r>
    </w:p>
    <w:p>
      <w:pPr>
        <w:spacing w:after="0" w:line="225" w:lineRule="exact"/>
        <w:rPr>
          <w:sz w:val="20"/>
          <w:szCs w:val="20"/>
          <w:color w:val="auto"/>
        </w:rPr>
      </w:pPr>
    </w:p>
    <w:p>
      <w:pPr>
        <w:ind w:left="540" w:right="100" w:hanging="262"/>
        <w:spacing w:after="0" w:line="259" w:lineRule="auto"/>
        <w:tabs>
          <w:tab w:leader="none" w:pos="5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Decreased blood pressure, low blood pressure upon standing, and slower than normal heart rate</w:t>
      </w:r>
      <w:r>
        <w:rPr>
          <w:rFonts w:ascii="Times New Roman" w:cs="Times New Roman" w:eastAsia="Times New Roman" w:hAnsi="Times New Roman"/>
          <w:sz w:val="18"/>
          <w:szCs w:val="18"/>
          <w:color w:val="auto"/>
        </w:rPr>
        <w:t>, which may be more likely in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 blood volume, diabetes, chronic high blood pressure, and older patients. IGALMI is taken under the supervision of a healthcare provider who will monitor vital signs (like blood pressure and heart rate) and alertness after IGALMI is administered to help prevent falling or fainting. Patients should be adequately hydrated and sit or lie down after taking IGALMI and instructed to tell their healthcare provider if they feel dizzy, lightheaded, or faint.</w:t>
      </w:r>
    </w:p>
    <w:p>
      <w:pPr>
        <w:spacing w:after="0" w:line="205" w:lineRule="exact"/>
        <w:rPr>
          <w:rFonts w:ascii="Arial" w:cs="Arial" w:eastAsia="Arial" w:hAnsi="Arial"/>
          <w:sz w:val="18"/>
          <w:szCs w:val="18"/>
          <w:b w:val="1"/>
          <w:bCs w:val="1"/>
          <w:color w:val="auto"/>
        </w:rPr>
      </w:pPr>
    </w:p>
    <w:p>
      <w:pPr>
        <w:ind w:left="540" w:right="40" w:hanging="262"/>
        <w:spacing w:after="0" w:line="262" w:lineRule="auto"/>
        <w:tabs>
          <w:tab w:leader="none" w:pos="5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Heart rhythm changes (QT interval prolongation)</w:t>
      </w:r>
      <w:r>
        <w:rPr>
          <w:rFonts w:ascii="Times New Roman" w:cs="Times New Roman" w:eastAsia="Times New Roman" w:hAnsi="Times New Roman"/>
          <w:sz w:val="18"/>
          <w:szCs w:val="18"/>
          <w:color w:val="auto"/>
        </w:rPr>
        <w:t>. IGALMI should not be given to patients with an abnormal heart rhythm, a history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irregular heartbeat, slow heart rate, low potassium, low magnesium, or taking other drugs that could affect heart rhythm. Taking IGALMI with a history of abnormal heart rhythm can increase the risk of torsades de pointes and sudden death. Patients should be instructed to tell their healthcare provider immediately if they feel faint or have heart palpitations.</w:t>
      </w:r>
    </w:p>
    <w:p>
      <w:pPr>
        <w:spacing w:after="0" w:line="202" w:lineRule="exact"/>
        <w:rPr>
          <w:rFonts w:ascii="Arial" w:cs="Arial" w:eastAsia="Arial" w:hAnsi="Arial"/>
          <w:sz w:val="18"/>
          <w:szCs w:val="18"/>
          <w:b w:val="1"/>
          <w:bCs w:val="1"/>
          <w:color w:val="auto"/>
        </w:rPr>
      </w:pPr>
    </w:p>
    <w:p>
      <w:pPr>
        <w:ind w:left="540" w:right="120" w:hanging="262"/>
        <w:spacing w:after="0" w:line="285" w:lineRule="auto"/>
        <w:tabs>
          <w:tab w:leader="none" w:pos="5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Sleepiness/drowsiness</w:t>
      </w:r>
      <w:r>
        <w:rPr>
          <w:rFonts w:ascii="Times New Roman" w:cs="Times New Roman" w:eastAsia="Times New Roman" w:hAnsi="Times New Roman"/>
          <w:sz w:val="18"/>
          <w:szCs w:val="18"/>
          <w:color w:val="auto"/>
        </w:rPr>
        <w:t>. Patients should not perform activities requiring mental alertness, such as driving or operating hazardous machinery, for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8 hours after taking IGALMI.</w:t>
      </w:r>
    </w:p>
    <w:p>
      <w:pPr>
        <w:spacing w:after="0" w:line="182" w:lineRule="exact"/>
        <w:rPr>
          <w:rFonts w:ascii="Arial" w:cs="Arial" w:eastAsia="Arial" w:hAnsi="Arial"/>
          <w:sz w:val="18"/>
          <w:szCs w:val="18"/>
          <w:b w:val="1"/>
          <w:bCs w:val="1"/>
          <w:color w:val="auto"/>
        </w:rPr>
      </w:pPr>
    </w:p>
    <w:p>
      <w:pPr>
        <w:ind w:left="540" w:right="120" w:hanging="262"/>
        <w:spacing w:after="0" w:line="268" w:lineRule="auto"/>
        <w:tabs>
          <w:tab w:leader="none" w:pos="5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Withdrawal reactions, tolerance, and decreased response/efficacy</w:t>
      </w:r>
      <w:r>
        <w:rPr>
          <w:rFonts w:ascii="Times New Roman" w:cs="Times New Roman" w:eastAsia="Times New Roman" w:hAnsi="Times New Roman"/>
          <w:sz w:val="18"/>
          <w:szCs w:val="18"/>
          <w:color w:val="auto"/>
        </w:rPr>
        <w:t>. IGALMI was not studied for longer than 24 hours after the first dose.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dependence, withdrawal symptoms (e.g., nausea, vomiting, agitation), and decreased response to IGALMI may occur if IGALMI is used longer than 24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most common side effects of IGALMI </w:t>
      </w:r>
      <w:r>
        <w:rPr>
          <w:rFonts w:ascii="Times New Roman" w:cs="Times New Roman" w:eastAsia="Times New Roman" w:hAnsi="Times New Roman"/>
          <w:sz w:val="18"/>
          <w:szCs w:val="18"/>
          <w:color w:val="auto"/>
        </w:rPr>
        <w:t>in clinical studies were sleepiness or drowsiness, a prickling or tingling sensation or numbness of the mouth,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dizziness, dry mouth, low blood pressure, and low blood pressure upon 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These are not all the possible side effects of IGALMI</w:t>
      </w:r>
      <w:r>
        <w:rPr>
          <w:rFonts w:ascii="Times New Roman" w:cs="Times New Roman" w:eastAsia="Times New Roman" w:hAnsi="Times New Roman"/>
          <w:sz w:val="18"/>
          <w:szCs w:val="18"/>
          <w:color w:val="auto"/>
        </w:rPr>
        <w:t>. Patients should speak with their healthcare provider for medical advice about side effects.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Patients should tell their healthcare provider about their medical history</w:t>
      </w:r>
      <w:r>
        <w:rPr>
          <w:rFonts w:ascii="Times New Roman" w:cs="Times New Roman" w:eastAsia="Times New Roman" w:hAnsi="Times New Roman"/>
          <w:sz w:val="18"/>
          <w:szCs w:val="18"/>
          <w:color w:val="auto"/>
        </w:rPr>
        <w:t>, including if they suffer from any known heart problems, low potassium, 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magnesium, low blood pressure, low heart rate, diabetes, high blood pressure, history of fainting, or liver impairment. They should also tell their healthcare provider if they are pregnant or breastfeeding or take any medicines, including prescription and over-the-counter medicines, vitamins, and herbal supplements. Patients should especially tell their healthcare provider if they take any drugs that lower blood pressure, change heart rate, or take anesthetics, sedatives, hypnotics, and opioids.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Everyone is encouraged to report negative side effects of prescription drugs to the FDA. Visit www.fda.gov/medwatch or call 1-800-FDA-1088. You can also contact BioXcel Therapeutics, Inc. at 1-833-201-1088 or medinfo@bioxceltherapeutics.com.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full prescribing information at Igalmi.com.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SERENITY At-Home Phase 3 Trial</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SERENITY At-Home Phase 3 trial is a double-blind, placebo-controlled study designed to evaluate the safety of a 120-mcg dose of BXCL501 for the acute treatment of agitation associated with bipolar disorders or schizophrenia in the at-home setting. The trial is designed to evaluate 200 patients with a history of agitation episodes residing at home either alone or with caregivers/informants. Patients are self-administering 120-mcg of BXCL501 or placebo when agitation episodes occur over the 12-week trial period, with safety data (adverse events) collected during the trial. In addition, patients or caregivers/informants will complete a modified global impression of severity (mCGIs) and a clinical global impression of change (mCGI-C) two hours after dosing as an exploratory endpoint to evaluate use in the outpatient setting.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TRANQUILITY In-Care Phase 3 Trial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TRANQUILITY In-Care trial is designed as a double-blind, placebo-controlled study to evaluate the efficacy and safety of a 60-mcg dose of BXCL501 over a 12-week period for agitation associated with Alzheimer’s dementia in the care setting. The trial is expected to enroll approximately 150 patients 55 years and older who have mild, moderate, or severe dementia with mini-mental state examination scores of 0 to 25 and who reside in skilled nursing facilities, memory care units, or assisted living facilities. Patients will self-administer 60-mcg of BXCL501 or placebo when episodic agitation episodes occur over the trial period. The primary endpoint is expected to be a change from baseline in the Positive and Negative Syndrome Scale-Excitatory Component (PEC) total score at two hours post-first dose. Additional PEC and Clinical Global Impressions – Improvement Scale measurements will also be obtained during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should be considered forward-looking statements, including, without limitation, statements related to: approval by the FDA of the sNDA and expanded label for IGALMI, IGALMI’s ability to make a transformative impact on the lives of a large patient population, ability to advance a strategic option to maximize shareholder value and advance the commercial and development plans for IGALMI. When used herein, words including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the Company’s current expectations and various assumptions. The Company believes there is a reasonable basis for its expectations and beliefs, but they are inherently uncertain. The Company may not realize its expectations, and its beliefs may not prove correct. Actual results could differ materially from those described or implied by such forward-looking statements as a result of various important factors, including, without limitation: its limited operating history; its incurrence of significant losses; its need for substantial additional funding and ability to raise capital when needed; the impact of the reprioritization; its significant indebtedness, ability to comply with covenant obligations and potential payment obligations related to such indebtedness and other contractual obligations; the Company has identified conditions and events that raise substantial doubt about its ability to continue as a going concern; its limited experience in drug discovery and drug development; risks related to the TRANQUILITY</w:t>
      </w:r>
    </w:p>
    <w:p>
      <w:pPr>
        <w:spacing w:after="0" w:line="10" w:lineRule="exact"/>
        <w:rPr>
          <w:sz w:val="20"/>
          <w:szCs w:val="20"/>
          <w:color w:val="auto"/>
        </w:rPr>
      </w:pPr>
    </w:p>
    <w:p>
      <w:pPr>
        <w:ind w:right="260"/>
        <w:spacing w:after="0" w:line="221" w:lineRule="auto"/>
        <w:rPr>
          <w:sz w:val="20"/>
          <w:szCs w:val="20"/>
          <w:color w:val="auto"/>
        </w:rPr>
      </w:pPr>
      <w:r>
        <w:rPr>
          <w:rFonts w:ascii="Times New Roman" w:cs="Times New Roman" w:eastAsia="Times New Roman" w:hAnsi="Times New Roman"/>
          <w:sz w:val="18"/>
          <w:szCs w:val="18"/>
          <w:color w:val="auto"/>
        </w:rPr>
        <w:t>program; its dependence on the success and commercialization of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BXCL501, BXCL502, BXCL701 and BXCL702 and other product candidates; the number of episodes of agitation and the size of the Company’s total addressable market may be overestimated, and approval that the Company may obtain may be based on a narrower definition of the patient population; its lack of experience in marketing and selling drug products; the</w:t>
      </w:r>
    </w:p>
    <w:p>
      <w:pPr>
        <w:spacing w:after="0" w:line="237" w:lineRule="auto"/>
        <w:rPr>
          <w:sz w:val="20"/>
          <w:szCs w:val="20"/>
          <w:color w:val="auto"/>
        </w:rPr>
      </w:pPr>
      <w:r>
        <w:rPr>
          <w:rFonts w:ascii="Times New Roman" w:cs="Times New Roman" w:eastAsia="Times New Roman" w:hAnsi="Times New Roman"/>
          <w:sz w:val="18"/>
          <w:szCs w:val="18"/>
          <w:color w:val="auto"/>
        </w:rPr>
        <w:t>risk that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the Company’s product candidates may not be accepted by physicians or the medical community in general; the Company still faces extensive and ongoing regulatory requirements and obligations for IGALMI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failure of preliminary data from its clinical studies to predict final study results; failure of its early clinical studies or preclinical studies to predict future clinical studies; its ability to receive regulatory approval for its product candidates; its ability to enroll patients in its clinical trials; undesirable side effects caused by the Company’s product candidates; its novel approach to the discovery and development of product candidates based on EvolverAI; the significant influence of and dependence on BioXcel LLC; its exposure to patent infringement lawsuits; its reliance on third parties; its ability to comply with the extensive regulations applicable to it; impacts from data breaches or cyber-attacks, if any; risks associated with the increased scrutiny relating to environmental, social and governance (ESG) matters; risks associated with federal, state or foreign health care “fraud and abuse” laws; and its ability to commercialize its product candidates, as well as the important factors discussed under the caption “Risk Factors” in its Annual Report on Form 10-K for the fiscal year ended December 31, 2025, as such factors may be updated from time to time in its other filings with the SEC, which are accessible on the SEC’s website at and the Investors section of the Company’s website at. These and other important factors could cause actual results to differ materially from those indicated by the forward-looking statements made in this press release. Any such forward-looking statements represent management’s estimates as of the date of this press release. While the Company may elect to update such forward-looking statements at some point in the future, except as required by law, it disclaims any obligation to do so, even if subsequent events cause our views to change. These forward-looking statements should not be relied upon as representing the Company’s views as of any date subsequent to the date of this press release.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Russo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nic.johnson@russopartnersllc.com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1.303.482.6405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Russo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Schull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david.schull@russopartnersllc.com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1.858.717.2310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BioXcel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BioXcel Therapeutics, Inc.</w:t>
            </w: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Operations</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per share amounts)</w:t>
            </w: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6"/>
          </w:tcPr>
          <w:p>
            <w:pPr>
              <w:jc w:val="right"/>
              <w:ind w:right="241"/>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24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6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4,554</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5,699</w:t>
            </w:r>
          </w:p>
        </w:tc>
      </w:tr>
      <w:tr>
        <w:trPr>
          <w:trHeight w:val="22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3,993</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23"/>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(0.54)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23,571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4,834</w:t>
            </w:r>
          </w:p>
        </w:tc>
      </w:tr>
      <w:tr>
        <w:trPr>
          <w:trHeight w:val="422"/>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Condensed Balance Sheets</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w:t>
            </w: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6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624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44,916</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139,568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140,379</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(105,543)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(95,463)</w:t>
            </w:r>
          </w:p>
        </w:tc>
      </w:tr>
      <w:tr>
        <w:trPr>
          <w:trHeight w:val="684"/>
        </w:trPr>
        <w:tc>
          <w:tcPr>
            <w:tcW w:w="6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2026-05-15T06:08:47Z</dcterms:created>
  <dcterms:modified xsi:type="dcterms:W3CDTF">2026-05-15T06:08:47Z</dcterms:modified>
</cp:coreProperties>
</file>