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568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Rodriguez Javier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BIOXCEL 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LONG WHARF DRIVE,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BioXcel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BTAI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   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14, 2022, the Reporting Person was granted 521 RSUs, vesting as to 25% of the total number of RSUs on the first anniversary of March 14, 2022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15, 2023, the Reporting Person was granted 562 RSUs, vesting as to 25% of the total number of RSUs on the first anniversary of March 15, 2023 and as to 6.25% of the total number of RSUs at the end of each successive three-month period thereafter, subject to the Reporting Person's continuous employment with the Issuer through the relevant vesting dates.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Legal Officer, Senior Vice President and Corporate Secretary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Richard Steinhart,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Javier Rodriguez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153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7919" TargetMode="External"/><Relationship Id="rId14" Type="http://schemas.openxmlformats.org/officeDocument/2006/relationships/hyperlink" Target="http://www.sec.gov/cgi-bin/browse-edgar?action=getcompany&amp;CIK=0001720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2025-12-15T19:03:53Z</dcterms:created>
  <dcterms:modified xsi:type="dcterms:W3CDTF">2025-12-15T19:03:53Z</dcterms:modified>
</cp:coreProperties>
</file>