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6396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6396355"/>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Mehta Vimal</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BIOXCEL THERAPEUTICS,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555 LONG WHARF DRIVE,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BioXcel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BTAI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09/14/2025</w:t>
      </w:r>
    </w:p>
    <w:p>
      <w:pPr>
        <w:spacing w:after="0" w:line="20" w:lineRule="exact"/>
        <w:rPr>
          <w:sz w:val="24"/>
          <w:szCs w:val="24"/>
          <w:color w:val="auto"/>
        </w:rPr>
      </w:pPr>
      <w:r>
        <w:rPr>
          <w:sz w:val="24"/>
          <w:szCs w:val="24"/>
          <w:color w:val="auto"/>
        </w:rPr>
        <w:br w:type="column"/>
      </w:r>
    </w:p>
    <w:p>
      <w:pPr>
        <w:ind w:left="-4" w:right="600" w:firstLine="4"/>
        <w:spacing w:after="0" w:line="266"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936"/>
        <w:spacing w:after="0"/>
        <w:rPr>
          <w:sz w:val="20"/>
          <w:szCs w:val="20"/>
          <w:color w:val="auto"/>
        </w:rPr>
      </w:pPr>
      <w:r>
        <w:rPr>
          <w:rFonts w:ascii="Times New Roman" w:cs="Times New Roman" w:eastAsia="Times New Roman" w:hAnsi="Times New Roman"/>
          <w:sz w:val="17"/>
          <w:szCs w:val="17"/>
          <w:color w:val="0000FF"/>
        </w:rPr>
        <w:t>CEO and President</w:t>
      </w:r>
    </w:p>
    <w:p>
      <w:pPr>
        <w:spacing w:after="0" w:line="417" w:lineRule="exact"/>
        <w:rPr>
          <w:sz w:val="24"/>
          <w:szCs w:val="24"/>
          <w:color w:val="auto"/>
        </w:rPr>
      </w:pPr>
    </w:p>
    <w:p>
      <w:pPr>
        <w:sectPr>
          <w:pgSz w:w="11900" w:h="16838" w:orient="portrait"/>
          <w:cols w:equalWidth="0" w:num="3">
            <w:col w:w="3200" w:space="720"/>
            <w:col w:w="3104" w:space="720"/>
            <w:col w:w="3336"/>
          </w:cols>
          <w:pgMar w:left="460" w:top="216" w:right="359" w:bottom="0" w:gutter="0" w:footer="0" w:header="0"/>
          <w:type w:val="continuous"/>
        </w:sectPr>
      </w:pPr>
    </w:p>
    <w:p>
      <w:pPr>
        <w:spacing w:after="0" w:line="2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HAVEN</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06511</w:t>
            </w:r>
          </w:p>
        </w:tc>
      </w:tr>
      <w:tr>
        <w:trPr>
          <w:trHeight w:val="152"/>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2" w:lineRule="exact"/>
        <w:rPr>
          <w:sz w:val="24"/>
          <w:szCs w:val="24"/>
          <w:color w:val="auto"/>
        </w:rPr>
      </w:pPr>
    </w:p>
    <w:p>
      <w:pPr>
        <w:sectPr>
          <w:pgSz w:w="11900" w:h="16838" w:orient="portrait"/>
          <w:cols w:equalWidth="0" w:num="2">
            <w:col w:w="3760" w:space="160"/>
            <w:col w:w="716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8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2"/>
                <w:szCs w:val="22"/>
                <w:color w:val="auto"/>
              </w:rPr>
            </w:pPr>
          </w:p>
        </w:tc>
        <w:tc>
          <w:tcPr>
            <w:tcW w:w="172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0000FF"/>
              </w:rPr>
              <w:t>09/14/2025</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163</w:t>
            </w:r>
          </w:p>
        </w:tc>
        <w:tc>
          <w:tcPr>
            <w:tcW w:w="66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320" w:type="dxa"/>
            <w:vAlign w:val="bottom"/>
            <w:gridSpan w:val="3"/>
          </w:tcPr>
          <w:p>
            <w:pPr>
              <w:jc w:val="center"/>
              <w:ind w:left="11"/>
              <w:spacing w:after="0"/>
              <w:rPr>
                <w:sz w:val="20"/>
                <w:szCs w:val="20"/>
                <w:color w:val="auto"/>
              </w:rPr>
            </w:pPr>
            <w:r>
              <w:rPr>
                <w:rFonts w:ascii="Times New Roman" w:cs="Times New Roman" w:eastAsia="Times New Roman" w:hAnsi="Times New Roman"/>
                <w:sz w:val="17"/>
                <w:szCs w:val="17"/>
                <w:color w:val="0000FF"/>
              </w:rPr>
              <w:t>20,274</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2"/>
                <w:szCs w:val="22"/>
                <w:color w:val="auto"/>
              </w:rPr>
            </w:pPr>
          </w:p>
        </w:tc>
        <w:tc>
          <w:tcPr>
            <w:tcW w:w="172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0000FF"/>
              </w:rPr>
              <w:t>09/15/2025</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219</w:t>
            </w:r>
          </w:p>
        </w:tc>
        <w:tc>
          <w:tcPr>
            <w:tcW w:w="66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320" w:type="dxa"/>
            <w:vAlign w:val="bottom"/>
            <w:gridSpan w:val="3"/>
          </w:tcPr>
          <w:p>
            <w:pPr>
              <w:jc w:val="center"/>
              <w:ind w:left="11"/>
              <w:spacing w:after="0"/>
              <w:rPr>
                <w:sz w:val="20"/>
                <w:szCs w:val="20"/>
                <w:color w:val="auto"/>
              </w:rPr>
            </w:pPr>
            <w:r>
              <w:rPr>
                <w:rFonts w:ascii="Times New Roman" w:cs="Times New Roman" w:eastAsia="Times New Roman" w:hAnsi="Times New Roman"/>
                <w:sz w:val="17"/>
                <w:szCs w:val="17"/>
                <w:color w:val="0000FF"/>
              </w:rPr>
              <w:t>20,493</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20" w:type="dxa"/>
            <w:vAlign w:val="bottom"/>
            <w:gridSpan w:val="3"/>
            <w:vMerge w:val="restart"/>
          </w:tcPr>
          <w:p>
            <w:pPr>
              <w:jc w:val="center"/>
              <w:ind w:left="11"/>
              <w:spacing w:after="0"/>
              <w:rPr>
                <w:sz w:val="20"/>
                <w:szCs w:val="20"/>
                <w:color w:val="auto"/>
              </w:rPr>
            </w:pPr>
            <w:r>
              <w:rPr>
                <w:rFonts w:ascii="Times New Roman" w:cs="Times New Roman" w:eastAsia="Times New Roman" w:hAnsi="Times New Roman"/>
                <w:sz w:val="17"/>
                <w:szCs w:val="17"/>
                <w:color w:val="0000FF"/>
                <w:w w:val="93"/>
              </w:rPr>
              <w:t>125</w:t>
            </w:r>
          </w:p>
        </w:tc>
        <w:tc>
          <w:tcPr>
            <w:tcW w:w="280" w:type="dxa"/>
            <w:vAlign w:val="bottom"/>
          </w:tcPr>
          <w:p>
            <w:pPr>
              <w:spacing w:after="0"/>
              <w:rPr>
                <w:sz w:val="21"/>
                <w:szCs w:val="21"/>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gridSpan w:val="3"/>
          </w:tcPr>
          <w:p>
            <w:pPr>
              <w:jc w:val="center"/>
              <w:ind w:left="11"/>
              <w:spacing w:after="0"/>
              <w:rPr>
                <w:sz w:val="20"/>
                <w:szCs w:val="20"/>
                <w:color w:val="auto"/>
              </w:rPr>
            </w:pPr>
            <w:r>
              <w:rPr>
                <w:rFonts w:ascii="Times New Roman" w:cs="Times New Roman" w:eastAsia="Times New Roman" w:hAnsi="Times New Roman"/>
                <w:sz w:val="17"/>
                <w:szCs w:val="17"/>
                <w:color w:val="0000FF"/>
              </w:rPr>
              <w:t>480,343</w:t>
            </w:r>
          </w:p>
        </w:tc>
        <w:tc>
          <w:tcPr>
            <w:tcW w:w="280" w:type="dxa"/>
            <w:vAlign w:val="bottom"/>
          </w:tcPr>
          <w:p>
            <w:pPr>
              <w:spacing w:after="0"/>
              <w:rPr>
                <w:sz w:val="18"/>
                <w:szCs w:val="18"/>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BioXcel</w:t>
            </w:r>
          </w:p>
        </w:tc>
        <w:tc>
          <w:tcPr>
            <w:tcW w:w="0" w:type="dxa"/>
            <w:vAlign w:val="bottom"/>
          </w:tcPr>
          <w:p>
            <w:pPr>
              <w:spacing w:after="0"/>
              <w:rPr>
                <w:sz w:val="1"/>
                <w:szCs w:val="1"/>
                <w:color w:val="auto"/>
              </w:rPr>
            </w:pPr>
          </w:p>
        </w:tc>
      </w:tr>
      <w:tr>
        <w:trPr>
          <w:trHeight w:val="319"/>
        </w:trPr>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0" w:type="dxa"/>
            <w:vAlign w:val="bottom"/>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(3)</w:t>
            </w:r>
          </w:p>
        </w:tc>
        <w:tc>
          <w:tcPr>
            <w:tcW w:w="200" w:type="dxa"/>
            <w:vAlign w:val="bottom"/>
          </w:tcPr>
          <w:p>
            <w:pPr>
              <w:spacing w:after="0"/>
              <w:rPr>
                <w:sz w:val="15"/>
                <w:szCs w:val="15"/>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163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195"/>
              <w:spacing w:after="0" w:line="144" w:lineRule="exact"/>
              <w:rPr>
                <w:sz w:val="20"/>
                <w:szCs w:val="20"/>
                <w:color w:val="auto"/>
              </w:rPr>
            </w:pPr>
            <w:r>
              <w:rPr>
                <w:rFonts w:ascii="Times New Roman" w:cs="Times New Roman" w:eastAsia="Times New Roman" w:hAnsi="Times New Roman"/>
                <w:sz w:val="13"/>
                <w:szCs w:val="13"/>
                <w:color w:val="0000FF"/>
              </w:rPr>
              <w:t>09/14/2025</w:t>
            </w:r>
          </w:p>
        </w:tc>
        <w:tc>
          <w:tcPr>
            <w:tcW w:w="1100" w:type="dxa"/>
            <w:vAlign w:val="bottom"/>
          </w:tcPr>
          <w:p>
            <w:pPr>
              <w:spacing w:after="0"/>
              <w:rPr>
                <w:sz w:val="5"/>
                <w:szCs w:val="5"/>
                <w:color w:val="auto"/>
              </w:rPr>
            </w:pPr>
          </w:p>
        </w:tc>
        <w:tc>
          <w:tcPr>
            <w:tcW w:w="620" w:type="dxa"/>
            <w:vAlign w:val="bottom"/>
            <w:vMerge w:val="restart"/>
          </w:tcPr>
          <w:p>
            <w:pPr>
              <w:ind w:left="14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440"/>
              <w:spacing w:after="0" w:line="144" w:lineRule="exact"/>
              <w:rPr>
                <w:sz w:val="20"/>
                <w:szCs w:val="20"/>
                <w:color w:val="auto"/>
              </w:rPr>
            </w:pPr>
            <w:r>
              <w:rPr>
                <w:rFonts w:ascii="Times New Roman" w:cs="Times New Roman" w:eastAsia="Times New Roman" w:hAnsi="Times New Roman"/>
                <w:sz w:val="13"/>
                <w:szCs w:val="13"/>
                <w:color w:val="0000FF"/>
              </w:rPr>
              <w:t>163</w:t>
            </w: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4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jc w:val="right"/>
              <w:ind w:right="20"/>
              <w:spacing w:after="0" w:line="144" w:lineRule="exact"/>
              <w:rPr>
                <w:sz w:val="20"/>
                <w:szCs w:val="20"/>
                <w:color w:val="auto"/>
              </w:rPr>
            </w:pPr>
            <w:r>
              <w:rPr>
                <w:rFonts w:ascii="Times New Roman" w:cs="Times New Roman" w:eastAsia="Times New Roman" w:hAnsi="Times New Roman"/>
                <w:sz w:val="13"/>
                <w:szCs w:val="13"/>
                <w:color w:val="0000FF"/>
              </w:rPr>
              <w:t>816</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(4)</w:t>
            </w:r>
          </w:p>
        </w:tc>
        <w:tc>
          <w:tcPr>
            <w:tcW w:w="200" w:type="dxa"/>
            <w:vAlign w:val="bottom"/>
          </w:tcPr>
          <w:p>
            <w:pPr>
              <w:spacing w:after="0"/>
              <w:rPr>
                <w:sz w:val="15"/>
                <w:szCs w:val="15"/>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219</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195"/>
              <w:spacing w:after="0" w:line="144" w:lineRule="exact"/>
              <w:rPr>
                <w:sz w:val="20"/>
                <w:szCs w:val="20"/>
                <w:color w:val="auto"/>
              </w:rPr>
            </w:pPr>
            <w:r>
              <w:rPr>
                <w:rFonts w:ascii="Times New Roman" w:cs="Times New Roman" w:eastAsia="Times New Roman" w:hAnsi="Times New Roman"/>
                <w:sz w:val="13"/>
                <w:szCs w:val="13"/>
                <w:color w:val="0000FF"/>
              </w:rPr>
              <w:t>09/15/2025</w:t>
            </w:r>
          </w:p>
        </w:tc>
        <w:tc>
          <w:tcPr>
            <w:tcW w:w="1100" w:type="dxa"/>
            <w:vAlign w:val="bottom"/>
          </w:tcPr>
          <w:p>
            <w:pPr>
              <w:spacing w:after="0"/>
              <w:rPr>
                <w:sz w:val="5"/>
                <w:szCs w:val="5"/>
                <w:color w:val="auto"/>
              </w:rPr>
            </w:pPr>
          </w:p>
        </w:tc>
        <w:tc>
          <w:tcPr>
            <w:tcW w:w="620" w:type="dxa"/>
            <w:vAlign w:val="bottom"/>
            <w:vMerge w:val="restart"/>
          </w:tcPr>
          <w:p>
            <w:pPr>
              <w:ind w:left="14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440"/>
              <w:spacing w:after="0" w:line="144" w:lineRule="exact"/>
              <w:rPr>
                <w:sz w:val="20"/>
                <w:szCs w:val="20"/>
                <w:color w:val="auto"/>
              </w:rPr>
            </w:pPr>
            <w:r>
              <w:rPr>
                <w:rFonts w:ascii="Times New Roman" w:cs="Times New Roman" w:eastAsia="Times New Roman" w:hAnsi="Times New Roman"/>
                <w:sz w:val="13"/>
                <w:szCs w:val="13"/>
                <w:color w:val="0000FF"/>
              </w:rPr>
              <w:t>219</w:t>
            </w: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4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jc w:val="right"/>
              <w:spacing w:after="0" w:line="144" w:lineRule="exact"/>
              <w:rPr>
                <w:sz w:val="20"/>
                <w:szCs w:val="20"/>
                <w:color w:val="auto"/>
              </w:rPr>
            </w:pPr>
            <w:r>
              <w:rPr>
                <w:rFonts w:ascii="Times New Roman" w:cs="Times New Roman" w:eastAsia="Times New Roman" w:hAnsi="Times New Roman"/>
                <w:sz w:val="13"/>
                <w:szCs w:val="13"/>
                <w:color w:val="0000FF"/>
              </w:rPr>
              <w:t>1,970</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-2469515</wp:posOffset>
            </wp:positionV>
            <wp:extent cx="29210" cy="2474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4745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jc w:val="both"/>
        <w:ind w:left="40" w:right="340" w:firstLine="3"/>
        <w:spacing w:after="0"/>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BioXcel LLC. BioXcel LLC is a subsidiary of BioXcel Holdings, Inc. ("Parent"). The Reporting Person is an executive officer and the sole member of the board of directors of Parent and an executive officer and one of two managers on the board of managers of BioXcel LLC and Parent. By virtue of these relationships, the Reporting Person may be deemed to be the beneficial owner of the securities held of record by BioXcel LLC. The Reporting Person disclaims beneficial ownership of the securities reported herein except to the extent of his pecuniary interest therein. This report shall not be deemed an admission that the Reporting Person is the beneficial owner of such securities for the purpose of Section 16 or for any other purpose.</w:t>
      </w:r>
    </w:p>
    <w:p>
      <w:pPr>
        <w:spacing w:after="0" w:line="27" w:lineRule="exact"/>
        <w:rPr>
          <w:rFonts w:ascii="Times New Roman" w:cs="Times New Roman" w:eastAsia="Times New Roman" w:hAnsi="Times New Roman"/>
          <w:sz w:val="13"/>
          <w:szCs w:val="13"/>
          <w:color w:val="008000"/>
        </w:rPr>
      </w:pPr>
    </w:p>
    <w:p>
      <w:pPr>
        <w:ind w:left="40" w:right="16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14, 2022, the Reporting Person was granted 2,609 RSUs, vesting as to 25% of the total number of RSUs on the first anniversary of March 14, 2022 and as to 6.25% of the total number of RSUs at the end of each successive three-month period thereafter, subject to the Reporting Person's continuous employment with the Issuer through the relevant vesting dates.</w:t>
      </w:r>
    </w:p>
    <w:p>
      <w:pPr>
        <w:spacing w:after="0" w:line="14" w:lineRule="exact"/>
        <w:rPr>
          <w:rFonts w:ascii="Times New Roman" w:cs="Times New Roman" w:eastAsia="Times New Roman" w:hAnsi="Times New Roman"/>
          <w:sz w:val="13"/>
          <w:szCs w:val="13"/>
          <w:color w:val="008000"/>
        </w:rPr>
      </w:pPr>
    </w:p>
    <w:p>
      <w:pPr>
        <w:ind w:left="40" w:right="160" w:firstLine="3"/>
        <w:spacing w:after="0" w:line="251"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15, 2023, the Reporting Person was granted 3,500 RSUs, vesting as to 25% of the total number of RSUs on the first anniversary of March 15, 2023 and as to 6.25% of the total number of RSUs at the end of each successive three-month period thereafter, subject to the Reporting Person's continuous employment with the Issuer through the relevant vesting dates.</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Richard Steinhart, Attorney- </w:t>
      </w:r>
      <w:r>
        <w:rPr>
          <w:rFonts w:ascii="Times New Roman" w:cs="Times New Roman" w:eastAsia="Times New Roman" w:hAnsi="Times New Roman"/>
          <w:sz w:val="32"/>
          <w:szCs w:val="32"/>
          <w:color w:val="0000FF"/>
          <w:vertAlign w:val="subscript"/>
        </w:rPr>
        <w:t>09/16/2025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563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Vimal Mehta, Ph.D.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3468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683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33369" TargetMode="External"/><Relationship Id="rId14" Type="http://schemas.openxmlformats.org/officeDocument/2006/relationships/hyperlink" Target="http://www.sec.gov/cgi-bin/browse-edgar?action=getcompany&amp;CIK=00017208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2025-09-16T18:08:55Z</dcterms:created>
  <dcterms:modified xsi:type="dcterms:W3CDTF">2025-09-16T18:08:55Z</dcterms:modified>
</cp:coreProperties>
</file>