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5689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6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Steinhart Richard I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BIOXCEL THERAPEUTICS,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555 LONG WHARF DRIVE,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BioXcel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BTAI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HAVEN   CT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09/14/2025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09/15/2025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-2469515</wp:posOffset>
            </wp:positionV>
            <wp:extent cx="29210" cy="24745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14, 2022, the Reporting Person was granted 521 RSUs, vesting as to 25% of the total number of RSUs on the first anniversary of March 14, 2022 and as to 6.25% of the total number of RSUs at the end of each successive three-month period thereafter, subject to the Reporting Person's continuous employment with the Issuer through the relevant vesting dates.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15, 2023, the Reporting Person was granted 562 RSUs, vesting as to 25% of the total number of RSUs on the first anniversary of March 15, 2023 and as to 6.25% of the total number of RSUs at the end of each successive three-month period thereafter, subject to the Reporting Person's continuous employment with the Issuer through the relevant vesting dates.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Richard Steinhart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09/16/2025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3789" TargetMode="External"/><Relationship Id="rId14" Type="http://schemas.openxmlformats.org/officeDocument/2006/relationships/hyperlink" Target="http://www.sec.gov/cgi-bin/browse-edgar?action=getcompany&amp;CIK=00017208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2025-09-16T18:08:21Z</dcterms:created>
  <dcterms:modified xsi:type="dcterms:W3CDTF">2025-09-16T18:08:21Z</dcterms:modified>
</cp:coreProperties>
</file>